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759" w:rsidRPr="00971759" w:rsidRDefault="00971759" w:rsidP="00971759">
      <w:pPr>
        <w:spacing w:before="100" w:beforeAutospacing="1" w:after="100" w:afterAutospacing="1"/>
        <w:outlineLvl w:val="0"/>
        <w:divId w:val="1736852793"/>
        <w:rPr>
          <w:rFonts w:eastAsia="Times New Roman"/>
          <w:b/>
          <w:bCs/>
          <w:kern w:val="36"/>
          <w:sz w:val="28"/>
          <w:szCs w:val="28"/>
        </w:rPr>
      </w:pPr>
      <w:bookmarkStart w:id="0" w:name="_GoBack"/>
      <w:bookmarkEnd w:id="0"/>
      <w:r w:rsidRPr="00971759">
        <w:rPr>
          <w:rFonts w:eastAsia="Times New Roman"/>
          <w:b/>
          <w:bCs/>
          <w:kern w:val="36"/>
          <w:sz w:val="28"/>
          <w:szCs w:val="28"/>
        </w:rPr>
        <w:t>ATA DA REUNIÃO DO COMITÊ DE INVESTIMENTOS Nº 13/2026 – IPSMB</w:t>
      </w:r>
    </w:p>
    <w:p w:rsidR="00971759" w:rsidRPr="00971759" w:rsidRDefault="00971759" w:rsidP="00971759">
      <w:pPr>
        <w:jc w:val="both"/>
        <w:divId w:val="1736852793"/>
        <w:rPr>
          <w:rFonts w:eastAsia="Times New Roman"/>
        </w:rPr>
      </w:pPr>
      <w:r w:rsidRPr="00971759">
        <w:rPr>
          <w:rFonts w:eastAsia="Times New Roman"/>
        </w:rPr>
        <w:t>Aos treze dias do mês de outubro de dois mil e vinte e seis, às nove horas, reuniram-se, nas dependências do Instituto de Previdência dos Servidores Municipais de Bonito – IPSMB, os membros do Comitê de Investimentos, nomeados conforme Decreto Municipal nº 61, de 19 de fevereiro de 2026, para análise da carteira de investimentos do Instituto e discussão das estratégias de alocação dos recursos, considerando as exigências da Resolução CMN nº 5.272, de 18 de dezembro de 2025. A reunião contou com a presença dos membros subscritos ao final desta ata.</w:t>
      </w:r>
    </w:p>
    <w:p w:rsidR="00971759" w:rsidRPr="00971759" w:rsidRDefault="00971759" w:rsidP="00971759">
      <w:pPr>
        <w:jc w:val="both"/>
        <w:divId w:val="1736852793"/>
        <w:rPr>
          <w:rFonts w:eastAsia="Times New Roman"/>
        </w:rPr>
      </w:pPr>
      <w:r w:rsidRPr="00971759">
        <w:rPr>
          <w:rFonts w:eastAsia="Times New Roman"/>
        </w:rPr>
        <w:t xml:space="preserve">Durante a reunião, foi realizada a análise da carteira de investimentos, considerando a diversificação dos ativos, a otimização dos resultados e a mitigação dos riscos, com prioridade para os investimentos já pertencentes à carteira do IPSMB. Quanto ao enquadramento dos recursos, foi identificado </w:t>
      </w:r>
      <w:proofErr w:type="spellStart"/>
      <w:r w:rsidRPr="00971759">
        <w:rPr>
          <w:rFonts w:eastAsia="Times New Roman"/>
        </w:rPr>
        <w:t>desenquadramento</w:t>
      </w:r>
      <w:proofErr w:type="spellEnd"/>
      <w:r w:rsidRPr="00971759">
        <w:rPr>
          <w:rFonts w:eastAsia="Times New Roman"/>
        </w:rPr>
        <w:t xml:space="preserve"> passivo, decorrente das alterações promovidas pela nova resolução. Também foi avaliada a liquidez do portfólio, que apresentava 95,65% dos recursos em ativos com liquidez, condição considerada relevante para proporcionar maior agilidade na gestão diante de eventuais mudanças no cenário econômico.</w:t>
      </w:r>
    </w:p>
    <w:p w:rsidR="00971759" w:rsidRPr="00971759" w:rsidRDefault="00971759" w:rsidP="00971759">
      <w:pPr>
        <w:jc w:val="both"/>
        <w:divId w:val="1736852793"/>
        <w:rPr>
          <w:rFonts w:eastAsia="Times New Roman"/>
        </w:rPr>
      </w:pPr>
      <w:r w:rsidRPr="00971759">
        <w:rPr>
          <w:rFonts w:eastAsia="Times New Roman"/>
        </w:rPr>
        <w:t xml:space="preserve">Na análise das estratégias de investimento, discutiu-se a redução da exposição ao CDI e a diversificação dos recursos entre diferentes indexadores de renda fixa, buscando maior equilíbrio da carteira diante das oscilações da curva de juros e proteção contra os efeitos da inflação. Nesse contexto, deliberou-se pela aplicação do valor de </w:t>
      </w:r>
      <w:r w:rsidRPr="00971759">
        <w:rPr>
          <w:rFonts w:eastAsia="Times New Roman"/>
          <w:b/>
          <w:bCs/>
        </w:rPr>
        <w:t>R$ 5.392.207,85 (cinco milhões, trezentos e noventa e dois mil, duzentos e sete reais e oitenta e cinco centavos)</w:t>
      </w:r>
      <w:r w:rsidRPr="00971759">
        <w:rPr>
          <w:rFonts w:eastAsia="Times New Roman"/>
        </w:rPr>
        <w:t xml:space="preserve"> no fundo </w:t>
      </w:r>
      <w:r w:rsidRPr="00971759">
        <w:rPr>
          <w:rFonts w:eastAsia="Times New Roman"/>
          <w:b/>
          <w:bCs/>
        </w:rPr>
        <w:t>BB TÍTULOS PÚBLICOS VÉRTICE ESPECIAL 2028 RESP LIMITADA FIF RENDA FIXA PREVIDENCIÁRIO</w:t>
      </w:r>
      <w:r w:rsidRPr="00971759">
        <w:rPr>
          <w:rFonts w:eastAsia="Times New Roman"/>
        </w:rPr>
        <w:t>, CNPJ nº 50.099.960/0001-29. A estratégia de alocação em títulos públicos federais foi considerada com o objetivo de priorizar a qualidade de crédito e o controle dos riscos. Também foram discutidas as possibilidades de utilização de estratégias vinculadas ao IDKA IPCA 2A, visando à proteção contra a inflação no médio prazo e à busca por ganhos reais, bem como a ampliação da diversificação por meio do IMA-Geral, buscando melhor distribuição entre os indexadores de renda fixa.</w:t>
      </w:r>
    </w:p>
    <w:p w:rsidR="00971759" w:rsidRPr="00971759" w:rsidRDefault="00971759" w:rsidP="00971759">
      <w:pPr>
        <w:jc w:val="both"/>
        <w:divId w:val="1736852793"/>
        <w:rPr>
          <w:rFonts w:eastAsia="Times New Roman"/>
        </w:rPr>
      </w:pPr>
      <w:r w:rsidRPr="00971759">
        <w:rPr>
          <w:rFonts w:eastAsia="Times New Roman"/>
        </w:rPr>
        <w:t xml:space="preserve">Em relação às restrições e às metas de adequação da carteira, foi destacada a condição atual do IPSMB quanto à ausência de certificação no âmbito do Pró-Gestão RPPS e às limitações de alocação de recursos previstas na regulamentação aplicável. Nesse sentido, ressaltou-se a importância de avançar na obtenção da certificação Pró-Gestão RPPS, no mínimo, nível II, com vistas ao atendimento das exigências pertinentes e à ampliação das possibilidades de investimento, observados os limites legais. Também foi abordado o prazo de até dois anos para adequação integral, conforme mencionado na Resolução CMN nº 5.272/2025, contado a partir de sua vigência. Por fim, reforçou-se a recomendação de distribuir os recursos entre mais de um fundo de investimento, mesmo quando destinados ao mesmo vértice, como medida preventiva para reduzir o risco de novos </w:t>
      </w:r>
      <w:proofErr w:type="spellStart"/>
      <w:r w:rsidRPr="00971759">
        <w:rPr>
          <w:rFonts w:eastAsia="Times New Roman"/>
        </w:rPr>
        <w:t>desenquadramentos</w:t>
      </w:r>
      <w:proofErr w:type="spellEnd"/>
      <w:r w:rsidRPr="00971759">
        <w:rPr>
          <w:rFonts w:eastAsia="Times New Roman"/>
        </w:rPr>
        <w:t>, observadas as disposições do art. 18 da referida Resolução.</w:t>
      </w:r>
    </w:p>
    <w:p w:rsidR="00971759" w:rsidRPr="00971759" w:rsidRDefault="00971759" w:rsidP="00971759">
      <w:pPr>
        <w:spacing w:before="100" w:beforeAutospacing="1"/>
        <w:jc w:val="both"/>
        <w:divId w:val="1736852793"/>
        <w:rPr>
          <w:rFonts w:eastAsia="Times New Roman"/>
        </w:rPr>
      </w:pPr>
      <w:r w:rsidRPr="00971759">
        <w:rPr>
          <w:rFonts w:eastAsia="Times New Roman"/>
        </w:rPr>
        <w:t xml:space="preserve">Nada mais havendo a tratar, a reunião foi encerrada às onze horas. Para constar, eu, </w:t>
      </w:r>
      <w:proofErr w:type="spellStart"/>
      <w:r w:rsidRPr="00971759">
        <w:rPr>
          <w:rFonts w:eastAsia="Times New Roman"/>
        </w:rPr>
        <w:t>Gleni</w:t>
      </w:r>
      <w:proofErr w:type="spellEnd"/>
      <w:r w:rsidRPr="00971759">
        <w:rPr>
          <w:rFonts w:eastAsia="Times New Roman"/>
        </w:rPr>
        <w:t xml:space="preserve"> Rodrigues Sanches de Souza, lavrei a presente ata que, após lida, discutida e aprovada, segue assinada pelos membros presentes.</w:t>
      </w:r>
    </w:p>
    <w:p w:rsidR="00971759" w:rsidRPr="00971759" w:rsidRDefault="00971759" w:rsidP="00971759">
      <w:pPr>
        <w:spacing w:before="100" w:beforeAutospacing="1" w:after="100" w:afterAutospacing="1"/>
        <w:ind w:left="6480"/>
        <w:jc w:val="right"/>
        <w:divId w:val="1736852793"/>
        <w:rPr>
          <w:rFonts w:eastAsia="Times New Roman"/>
        </w:rPr>
      </w:pPr>
      <w:r w:rsidRPr="00971759">
        <w:rPr>
          <w:rFonts w:eastAsia="Times New Roman"/>
        </w:rPr>
        <w:t>Bonito/MS, 13 de outubro de 2026.</w:t>
      </w:r>
    </w:p>
    <w:p w:rsidR="00971759" w:rsidRPr="00980035" w:rsidRDefault="00971759" w:rsidP="00427963">
      <w:pPr>
        <w:spacing w:line="280" w:lineRule="atLeast"/>
        <w:divId w:val="1736852793"/>
        <w:rPr>
          <w:rFonts w:eastAsia="Times New Roman"/>
        </w:rPr>
      </w:pPr>
    </w:p>
    <w:p w:rsidR="00971759" w:rsidRPr="00645269" w:rsidRDefault="00971759" w:rsidP="00971759">
      <w:pPr>
        <w:divId w:val="1736852793"/>
        <w:rPr>
          <w:rFonts w:eastAsia="Times New Roman"/>
        </w:rPr>
      </w:pPr>
      <w:proofErr w:type="spellStart"/>
      <w:r w:rsidRPr="00645269">
        <w:rPr>
          <w:rFonts w:eastAsia="Times New Roman"/>
          <w:b/>
          <w:bCs/>
        </w:rPr>
        <w:t>Gleni</w:t>
      </w:r>
      <w:proofErr w:type="spellEnd"/>
      <w:r w:rsidRPr="00645269">
        <w:rPr>
          <w:rFonts w:eastAsia="Times New Roman"/>
          <w:b/>
          <w:bCs/>
        </w:rPr>
        <w:t xml:space="preserve"> Rodrigues Sanches de Souza</w:t>
      </w:r>
      <w:r w:rsidRPr="00645269">
        <w:rPr>
          <w:rFonts w:eastAsia="Times New Roman"/>
        </w:rPr>
        <w:br/>
        <w:t>Secretária / Membro do Comitê</w:t>
      </w:r>
    </w:p>
    <w:p w:rsidR="00971759" w:rsidRPr="00645269" w:rsidRDefault="00971759" w:rsidP="00971759">
      <w:pPr>
        <w:divId w:val="1736852793"/>
        <w:rPr>
          <w:rFonts w:eastAsia="Times New Roman"/>
          <w:b/>
          <w:bCs/>
        </w:rPr>
      </w:pPr>
    </w:p>
    <w:p w:rsidR="00971759" w:rsidRPr="00645269" w:rsidRDefault="00971759" w:rsidP="00971759">
      <w:pPr>
        <w:divId w:val="1736852793"/>
        <w:rPr>
          <w:rFonts w:eastAsia="Times New Roman"/>
        </w:rPr>
      </w:pPr>
      <w:proofErr w:type="spellStart"/>
      <w:r w:rsidRPr="00645269">
        <w:rPr>
          <w:rFonts w:eastAsia="Times New Roman"/>
          <w:b/>
          <w:bCs/>
        </w:rPr>
        <w:t>Rosileia</w:t>
      </w:r>
      <w:proofErr w:type="spellEnd"/>
      <w:r w:rsidRPr="00645269">
        <w:rPr>
          <w:rFonts w:eastAsia="Times New Roman"/>
          <w:b/>
          <w:bCs/>
        </w:rPr>
        <w:t xml:space="preserve"> Gomes Xavier</w:t>
      </w:r>
      <w:r w:rsidRPr="00645269">
        <w:rPr>
          <w:rFonts w:eastAsia="Times New Roman"/>
        </w:rPr>
        <w:br/>
        <w:t>Membro do Comitê</w:t>
      </w:r>
    </w:p>
    <w:p w:rsidR="00971759" w:rsidRPr="00645269" w:rsidRDefault="00971759" w:rsidP="00971759">
      <w:pPr>
        <w:divId w:val="1736852793"/>
        <w:rPr>
          <w:rFonts w:eastAsia="Times New Roman"/>
          <w:b/>
          <w:bCs/>
        </w:rPr>
      </w:pPr>
    </w:p>
    <w:p w:rsidR="00185988" w:rsidRPr="00971759" w:rsidRDefault="00971759" w:rsidP="00971759">
      <w:pPr>
        <w:divId w:val="1736852793"/>
        <w:rPr>
          <w:rFonts w:eastAsia="Times New Roman"/>
        </w:rPr>
      </w:pPr>
      <w:r w:rsidRPr="00645269">
        <w:rPr>
          <w:rFonts w:eastAsia="Times New Roman"/>
          <w:b/>
          <w:bCs/>
        </w:rPr>
        <w:t xml:space="preserve">José Eduardo Xavier </w:t>
      </w:r>
      <w:proofErr w:type="spellStart"/>
      <w:r w:rsidRPr="00645269">
        <w:rPr>
          <w:rFonts w:eastAsia="Times New Roman"/>
          <w:b/>
          <w:bCs/>
        </w:rPr>
        <w:t>Battaglin</w:t>
      </w:r>
      <w:proofErr w:type="spellEnd"/>
      <w:r w:rsidRPr="00645269">
        <w:rPr>
          <w:rFonts w:eastAsia="Times New Roman"/>
        </w:rPr>
        <w:br/>
        <w:t>Membro do Comitê</w:t>
      </w:r>
      <w:r w:rsidR="00185988" w:rsidRPr="00427963">
        <w:rPr>
          <w:rFonts w:ascii="Garamond" w:eastAsia="Times New Roman" w:hAnsi="Garamond"/>
        </w:rPr>
        <w:t> </w:t>
      </w:r>
    </w:p>
    <w:sectPr w:rsidR="00185988" w:rsidRPr="00971759" w:rsidSect="00980035">
      <w:headerReference w:type="default" r:id="rId7"/>
      <w:pgSz w:w="11907" w:h="16840"/>
      <w:pgMar w:top="284" w:right="567" w:bottom="284" w:left="85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2380" w:rsidRDefault="002E2380">
      <w:r>
        <w:separator/>
      </w:r>
    </w:p>
  </w:endnote>
  <w:endnote w:type="continuationSeparator" w:id="0">
    <w:p w:rsidR="002E2380" w:rsidRDefault="002E2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2380" w:rsidRDefault="002E2380">
      <w:r>
        <w:separator/>
      </w:r>
    </w:p>
  </w:footnote>
  <w:footnote w:type="continuationSeparator" w:id="0">
    <w:p w:rsidR="002E2380" w:rsidRDefault="002E2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963" w:rsidRDefault="002E2380">
    <w:pPr>
      <w:rPr>
        <w:rFonts w:eastAsia="Times New Roman"/>
      </w:rPr>
    </w:pPr>
    <w:r>
      <w:rPr>
        <w:rFonts w:eastAsia="Times New Roman"/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7.2pt;margin-top:3pt;width:135pt;height:61.2pt;z-index:251658240" filled="t" fillcolor="#969696">
          <v:imagedata r:id="rId1" o:title=""/>
          <w10:wrap type="square"/>
        </v:shape>
        <o:OLEObject Type="Embed" ProgID="PBrush" ShapeID="_x0000_s2049" DrawAspect="Content" ObjectID="_1855470365" r:id="rId2"/>
      </w:object>
    </w: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  <w:bookmarkStart w:id="1" w:name="_Hlk26956813"/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Pr="0076661A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  <w:r w:rsidRPr="0076661A">
      <w:rPr>
        <w:rFonts w:ascii="Arial" w:eastAsia="Times New Roman" w:hAnsi="Arial" w:cs="Arial"/>
        <w:b/>
        <w:bCs/>
        <w:sz w:val="28"/>
        <w:szCs w:val="28"/>
      </w:rPr>
      <w:t xml:space="preserve">Instituto de Previdência dos </w:t>
    </w:r>
    <w:r>
      <w:rPr>
        <w:rFonts w:ascii="Arial" w:eastAsia="Times New Roman" w:hAnsi="Arial" w:cs="Arial"/>
        <w:b/>
        <w:bCs/>
        <w:sz w:val="28"/>
        <w:szCs w:val="28"/>
      </w:rPr>
      <w:t>S</w:t>
    </w:r>
    <w:r w:rsidRPr="0076661A">
      <w:rPr>
        <w:rFonts w:ascii="Arial" w:eastAsia="Times New Roman" w:hAnsi="Arial" w:cs="Arial"/>
        <w:b/>
        <w:bCs/>
        <w:sz w:val="28"/>
        <w:szCs w:val="28"/>
      </w:rPr>
      <w:t>ervidores Municipais de Bonito</w:t>
    </w:r>
  </w:p>
  <w:bookmarkEnd w:id="1"/>
  <w:p w:rsidR="00345BA8" w:rsidRDefault="00345BA8">
    <w:pPr>
      <w:rPr>
        <w:rFonts w:eastAsia="Times New Roman"/>
      </w:rPr>
    </w:pPr>
  </w:p>
  <w:p w:rsidR="00345BA8" w:rsidRDefault="00185988">
    <w:pPr>
      <w:divId w:val="377239895"/>
      <w:rPr>
        <w:rFonts w:eastAsia="Times New Roman"/>
      </w:rPr>
    </w:pPr>
    <w:r>
      <w:rPr>
        <w:rFonts w:eastAsia="Times New Roman"/>
      </w:rP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65939"/>
    <w:multiLevelType w:val="multilevel"/>
    <w:tmpl w:val="46D82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C47D27"/>
    <w:multiLevelType w:val="multilevel"/>
    <w:tmpl w:val="4FF61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3B3AEF"/>
    <w:multiLevelType w:val="multilevel"/>
    <w:tmpl w:val="20EC4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E43220"/>
    <w:multiLevelType w:val="multilevel"/>
    <w:tmpl w:val="4EC40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6C2D7E"/>
    <w:multiLevelType w:val="multilevel"/>
    <w:tmpl w:val="12BAA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963"/>
    <w:rsid w:val="00013ABB"/>
    <w:rsid w:val="00075B65"/>
    <w:rsid w:val="000A7F06"/>
    <w:rsid w:val="000C185E"/>
    <w:rsid w:val="000E1AAE"/>
    <w:rsid w:val="000F42F6"/>
    <w:rsid w:val="00185988"/>
    <w:rsid w:val="001B00B2"/>
    <w:rsid w:val="001C0FD3"/>
    <w:rsid w:val="001C402D"/>
    <w:rsid w:val="00220EB8"/>
    <w:rsid w:val="00230893"/>
    <w:rsid w:val="002603F1"/>
    <w:rsid w:val="00286599"/>
    <w:rsid w:val="002E2380"/>
    <w:rsid w:val="003100AE"/>
    <w:rsid w:val="00312836"/>
    <w:rsid w:val="00345BA8"/>
    <w:rsid w:val="00364AFA"/>
    <w:rsid w:val="0036552F"/>
    <w:rsid w:val="00383708"/>
    <w:rsid w:val="003A2FD2"/>
    <w:rsid w:val="003D231A"/>
    <w:rsid w:val="00427963"/>
    <w:rsid w:val="00472837"/>
    <w:rsid w:val="004A20BA"/>
    <w:rsid w:val="004A735E"/>
    <w:rsid w:val="004C5A98"/>
    <w:rsid w:val="00506EF2"/>
    <w:rsid w:val="0051369E"/>
    <w:rsid w:val="00556A09"/>
    <w:rsid w:val="005B0C74"/>
    <w:rsid w:val="005E60EA"/>
    <w:rsid w:val="005F3410"/>
    <w:rsid w:val="00640D0F"/>
    <w:rsid w:val="00651992"/>
    <w:rsid w:val="00704CE1"/>
    <w:rsid w:val="00715FAD"/>
    <w:rsid w:val="007221B6"/>
    <w:rsid w:val="00746A11"/>
    <w:rsid w:val="007C081A"/>
    <w:rsid w:val="00837904"/>
    <w:rsid w:val="008931B9"/>
    <w:rsid w:val="00894E00"/>
    <w:rsid w:val="008C5157"/>
    <w:rsid w:val="0091493F"/>
    <w:rsid w:val="00946478"/>
    <w:rsid w:val="0096035A"/>
    <w:rsid w:val="00971759"/>
    <w:rsid w:val="00980035"/>
    <w:rsid w:val="009A4559"/>
    <w:rsid w:val="009E6A18"/>
    <w:rsid w:val="00A116A8"/>
    <w:rsid w:val="00A66AE5"/>
    <w:rsid w:val="00A8745E"/>
    <w:rsid w:val="00A87D62"/>
    <w:rsid w:val="00B001EF"/>
    <w:rsid w:val="00B15A10"/>
    <w:rsid w:val="00B514CA"/>
    <w:rsid w:val="00C110A1"/>
    <w:rsid w:val="00C361CA"/>
    <w:rsid w:val="00C77725"/>
    <w:rsid w:val="00C9481C"/>
    <w:rsid w:val="00C9484B"/>
    <w:rsid w:val="00CC1E85"/>
    <w:rsid w:val="00CC43B0"/>
    <w:rsid w:val="00D51EA6"/>
    <w:rsid w:val="00D56C54"/>
    <w:rsid w:val="00D61049"/>
    <w:rsid w:val="00D818C5"/>
    <w:rsid w:val="00DC112E"/>
    <w:rsid w:val="00E43BFC"/>
    <w:rsid w:val="00E57994"/>
    <w:rsid w:val="00E90296"/>
    <w:rsid w:val="00EA03A6"/>
    <w:rsid w:val="00EC5C38"/>
    <w:rsid w:val="00EC7C58"/>
    <w:rsid w:val="00EE6F4F"/>
    <w:rsid w:val="00EF5990"/>
    <w:rsid w:val="00F0471D"/>
    <w:rsid w:val="00F45D24"/>
    <w:rsid w:val="00F529AB"/>
    <w:rsid w:val="00FC1C09"/>
    <w:rsid w:val="00FD0B23"/>
    <w:rsid w:val="00FD2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B30DEED-F7FD-4A32-AC52-171D013BF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971759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279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27963"/>
    <w:rPr>
      <w:rFonts w:eastAsiaTheme="minorEastAsia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F341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3410"/>
    <w:rPr>
      <w:rFonts w:ascii="Segoe UI" w:eastAsiaTheme="minorEastAsia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980035"/>
    <w:rPr>
      <w:b/>
      <w:bCs/>
    </w:rPr>
  </w:style>
  <w:style w:type="character" w:customStyle="1" w:styleId="inqyif">
    <w:name w:val="inqyif"/>
    <w:basedOn w:val="Fontepargpadro"/>
    <w:rsid w:val="00980035"/>
  </w:style>
  <w:style w:type="character" w:customStyle="1" w:styleId="Ttulo1Char">
    <w:name w:val="Título 1 Char"/>
    <w:basedOn w:val="Fontepargpadro"/>
    <w:link w:val="Ttulo1"/>
    <w:uiPriority w:val="9"/>
    <w:rsid w:val="00971759"/>
    <w:rPr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971759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236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1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904689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949422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82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662900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0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07079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29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374396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88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569069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49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7165271">
      <w:marLeft w:val="1296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9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23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4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560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Política de Investimentos</vt:lpstr>
    </vt:vector>
  </TitlesOfParts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Política de Investimentos</dc:title>
  <dc:subject/>
  <dc:creator>Dell</dc:creator>
  <cp:keywords/>
  <dc:description/>
  <cp:lastModifiedBy>Dell</cp:lastModifiedBy>
  <cp:revision>2</cp:revision>
  <cp:lastPrinted>2026-10-23T21:22:00Z</cp:lastPrinted>
  <dcterms:created xsi:type="dcterms:W3CDTF">2026-11-06T15:40:00Z</dcterms:created>
  <dcterms:modified xsi:type="dcterms:W3CDTF">2026-11-06T15:40:00Z</dcterms:modified>
</cp:coreProperties>
</file>